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8" w:after="0" w:line="250"/>
        <w:ind w:right="1080" w:left="821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ФИЛИАЛ ОАО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РЖД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  <w:t xml:space="preserve">ЦЕНТРАЛЬНАЯ ДИРЕКЦИЯ ИНФРАСТРУКТУРЫ</w:t>
      </w:r>
    </w:p>
    <w:p>
      <w:pPr>
        <w:spacing w:before="235" w:after="0" w:line="240"/>
        <w:ind w:right="4838" w:left="1214" w:hanging="816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  <w:t xml:space="preserve">ЗАПАДНО-СИБИРСКАЯ ДИРЕКЦИЯ ИНФРАСТРУКТУРЫ</w:t>
      </w:r>
    </w:p>
    <w:p>
      <w:pPr>
        <w:spacing w:before="0" w:after="0" w:line="240"/>
        <w:ind w:right="0" w:left="418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29" w:after="0" w:line="240"/>
        <w:ind w:right="0" w:left="418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  <w:t xml:space="preserve">ТОГУЧИНСКАЯ ДИСТАНЦИЯ ПУТИ</w:t>
      </w:r>
    </w:p>
    <w:p>
      <w:pPr>
        <w:spacing w:before="0" w:after="0" w:line="240"/>
        <w:ind w:right="4834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19" w:after="0" w:line="240"/>
        <w:ind w:right="4834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1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12"/>
          <w:shd w:fill="auto" w:val="clear"/>
        </w:rPr>
        <w:t xml:space="preserve">ул. Бригадная, 3 г. Тогучин Новосибирской области, 633453, Тел.: (383) 40- 60-230, 36-430; факс: (383) 40- 60-241, 36-441</w:t>
      </w:r>
    </w:p>
    <w:p>
      <w:pPr>
        <w:spacing w:before="0" w:after="0" w:line="648"/>
        <w:ind w:right="4838" w:left="206" w:firstLine="1042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  <w:hyperlink xmlns:r="http://schemas.openxmlformats.org/officeDocument/2006/relationships" r:id="docRId0"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Pchl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4_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pchio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@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wsr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Cambria" w:hAnsi="Cambria" w:cs="Cambria" w:eastAsia="Cambria"/>
            <w:vanish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HYPERLINK "mailto:Pchl4_pchio@wsr.ru"</w:t>
        </w:r>
        <w:r>
          <w:rPr>
            <w:rFonts w:ascii="Cambria" w:hAnsi="Cambria" w:cs="Cambria" w:eastAsia="Cambria"/>
            <w:color w:val="0066CC"/>
            <w:spacing w:val="0"/>
            <w:position w:val="0"/>
            <w:sz w:val="24"/>
            <w:u w:val="single"/>
            <w:shd w:fill="auto" w:val="clear"/>
          </w:rPr>
          <w:t xml:space="preserve">ru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ahoma" w:hAnsi="Tahoma" w:cs="Tahoma" w:eastAsia="Tahoma"/>
          <w:b/>
          <w:color w:val="auto"/>
          <w:spacing w:val="0"/>
          <w:position w:val="0"/>
          <w:sz w:val="18"/>
          <w:shd w:fill="auto" w:val="clear"/>
        </w:rPr>
        <w:t xml:space="preserve">ИСХ-393/ЗСибПЧ-14 от 26.06.2019</w:t>
      </w:r>
    </w:p>
    <w:p>
      <w:pPr>
        <w:spacing w:before="178" w:after="0" w:line="298"/>
        <w:ind w:right="0" w:left="0" w:firstLine="581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Руководство Тогучинской дистанции пути вновь обращается к Вам с убедительной просьбой обратиться к главам сельских советов для проведения разъяснительной работы среди жителей поселений о правилах выпаса скота вблизи ж.д. путей. В связи с тем, что 22.06.2019 в пределах Кемеровской дистанции допущен наезд на КРС (быка) с задержкой поезда и прямыми убытками железной дороги которые будут предъявлены хозяину КРС, а за истекший период времени 2019года в адрес Тогучинской дистанции пути поступило 1 замечание машинистов по 127 км - город Тогучин, четыре замечания по 154-158км - поселок Шахта, одно замечание на 133км - Красный яр, одно замечание по станции Изынский о нахождении КРС без пастуха в полосе отвода железнодорожного пути, что создает прямую угрозу безопасности движения на ж.д. транспорте.</w:t>
      </w:r>
    </w:p>
    <w:p>
      <w:pPr>
        <w:spacing w:before="0" w:after="0" w:line="298"/>
        <w:ind w:right="0" w:left="0" w:firstLine="73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Убедительная просьба вновь довести данное обращение до всех местных жителей, имеющих КРС с целью привлечения внимания к необходимости соблюдения правил выпаса скота в близи железнодорожного пути особенно без сопровождения пастуха, с целью предотвращения наезда подвижного состава на безнадзорный КРС. Последний случай показывает, что наезд подвижного состава'на скот может привести к тяжелым последствия и миллионным искам к владельцам КРС.</w:t>
      </w:r>
    </w:p>
    <w:p>
      <w:pPr>
        <w:spacing w:before="0" w:after="0" w:line="298"/>
        <w:ind w:right="0" w:left="566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Главный инженер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Тогучинской дистанции пути</w:t>
        <w:tab/>
        <w:tab/>
        <w:tab/>
        <w:tab/>
        <w:tab/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Р.В.Рогозин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chl4_pchio@wsr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